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C8057" w14:textId="77777777" w:rsidR="00ED15C2" w:rsidRPr="00273E06" w:rsidRDefault="00ED15C2" w:rsidP="00EA4B5E">
      <w:pPr>
        <w:pStyle w:val="Heading1"/>
        <w:numPr>
          <w:ilvl w:val="0"/>
          <w:numId w:val="1"/>
        </w:numPr>
        <w:spacing w:line="276" w:lineRule="auto"/>
      </w:pPr>
      <w:r w:rsidRPr="00273E06">
        <w:t>GENERAL</w:t>
      </w:r>
    </w:p>
    <w:p w14:paraId="4A5450F0" w14:textId="77777777" w:rsidR="00ED15C2" w:rsidRDefault="00ED15C2" w:rsidP="00EA4B5E">
      <w:pPr>
        <w:pStyle w:val="Heading2"/>
        <w:numPr>
          <w:ilvl w:val="1"/>
          <w:numId w:val="1"/>
        </w:numPr>
        <w:spacing w:line="276" w:lineRule="auto"/>
      </w:pPr>
      <w:r w:rsidRPr="00273E06">
        <w:t>SECTION INCLUDES</w:t>
      </w:r>
    </w:p>
    <w:p w14:paraId="3BB336AB" w14:textId="30905217" w:rsidR="00A82529" w:rsidRDefault="001A5D24" w:rsidP="00EA4B5E">
      <w:pPr>
        <w:pStyle w:val="Heading3"/>
        <w:spacing w:line="276" w:lineRule="auto"/>
      </w:pPr>
      <w:r>
        <w:t>Pressure-independent laboratory airflow control valves</w:t>
      </w:r>
    </w:p>
    <w:p w14:paraId="2ACA6A14" w14:textId="318C46ED" w:rsidR="00ED15C2" w:rsidRDefault="001A5D24" w:rsidP="00EA4B5E">
      <w:pPr>
        <w:pStyle w:val="Heading2"/>
        <w:numPr>
          <w:ilvl w:val="1"/>
          <w:numId w:val="1"/>
        </w:numPr>
        <w:spacing w:line="276" w:lineRule="auto"/>
      </w:pPr>
      <w:r>
        <w:t>QUALITY ASSURANCE</w:t>
      </w:r>
    </w:p>
    <w:p w14:paraId="32545377" w14:textId="15D6FC1F" w:rsidR="00ED15C2" w:rsidRPr="004A2AF1" w:rsidRDefault="001A5D24" w:rsidP="00EA4B5E">
      <w:pPr>
        <w:pStyle w:val="Heading3"/>
        <w:numPr>
          <w:ilvl w:val="2"/>
          <w:numId w:val="1"/>
        </w:numPr>
        <w:tabs>
          <w:tab w:val="clear" w:pos="936"/>
          <w:tab w:val="num" w:pos="864"/>
        </w:tabs>
        <w:spacing w:line="276" w:lineRule="auto"/>
        <w:ind w:left="864"/>
      </w:pPr>
      <w:r>
        <w:t xml:space="preserve">Materials and equipment shall be the </w:t>
      </w:r>
      <w:r w:rsidR="0041333D">
        <w:t>catalogued products of manufacturers regularly engaged in production and installation of laboratory airflow control system components and shall be the manufacturer's latest standard design that complies with the specification requirements.</w:t>
      </w:r>
    </w:p>
    <w:p w14:paraId="6812B9AB" w14:textId="6CA2D88B" w:rsidR="00ED15C2" w:rsidRPr="004A2AF1" w:rsidRDefault="00BE6640" w:rsidP="00EA4B5E">
      <w:pPr>
        <w:pStyle w:val="Heading3"/>
        <w:numPr>
          <w:ilvl w:val="2"/>
          <w:numId w:val="1"/>
        </w:numPr>
        <w:tabs>
          <w:tab w:val="clear" w:pos="936"/>
          <w:tab w:val="num" w:pos="864"/>
        </w:tabs>
        <w:spacing w:line="276" w:lineRule="auto"/>
        <w:ind w:left="864"/>
      </w:pPr>
      <w:r>
        <w:t xml:space="preserve">Parts and labor warranty shall start on the date of substantial completion for a period of 5 years. Any materials or system performance problems shall be corrected by the manufacturer at no cost </w:t>
      </w:r>
      <w:r w:rsidR="004242F5">
        <w:t xml:space="preserve">to the owner during the warranty period. </w:t>
      </w:r>
    </w:p>
    <w:p w14:paraId="3169D33A" w14:textId="1013030B" w:rsidR="00ED15C2" w:rsidRDefault="00ED15C2" w:rsidP="00EA4B5E">
      <w:pPr>
        <w:pStyle w:val="Heading3"/>
        <w:numPr>
          <w:ilvl w:val="2"/>
          <w:numId w:val="1"/>
        </w:numPr>
        <w:tabs>
          <w:tab w:val="clear" w:pos="936"/>
          <w:tab w:val="num" w:pos="864"/>
        </w:tabs>
        <w:spacing w:line="276" w:lineRule="auto"/>
        <w:ind w:left="864"/>
      </w:pPr>
      <w:r>
        <w:t>S</w:t>
      </w:r>
      <w:r w:rsidR="004242F5">
        <w:t xml:space="preserve">upplier shall have an in-place support facility within 300 miles of the site with technical staff, spare parts inventory, and all necessary </w:t>
      </w:r>
      <w:r w:rsidR="00443951">
        <w:t xml:space="preserve">test and diagnostic equipment. </w:t>
      </w:r>
    </w:p>
    <w:p w14:paraId="7CA4BD1A" w14:textId="502D8B36" w:rsidR="00ED15C2" w:rsidRPr="004A2AF1" w:rsidRDefault="00443951" w:rsidP="00EA4B5E">
      <w:pPr>
        <w:pStyle w:val="Heading3"/>
        <w:numPr>
          <w:ilvl w:val="2"/>
          <w:numId w:val="1"/>
        </w:numPr>
        <w:tabs>
          <w:tab w:val="clear" w:pos="936"/>
          <w:tab w:val="num" w:pos="864"/>
        </w:tabs>
        <w:spacing w:line="276" w:lineRule="auto"/>
        <w:ind w:left="864"/>
      </w:pPr>
      <w:r>
        <w:t xml:space="preserve">Installation as well as the startup, checkout </w:t>
      </w:r>
      <w:r w:rsidR="008805F3">
        <w:t xml:space="preserve">and commissioning of the laboratory airflow control system components shall be by </w:t>
      </w:r>
      <w:r w:rsidR="00E35F39">
        <w:t>full-time</w:t>
      </w:r>
      <w:r w:rsidR="008805F3">
        <w:t xml:space="preserve"> employees </w:t>
      </w:r>
      <w:r w:rsidR="00714F66">
        <w:t xml:space="preserve">of the control system manufacturer and shall be fully trained by the system manufacturer. </w:t>
      </w:r>
    </w:p>
    <w:p w14:paraId="7E56492C" w14:textId="506E2510" w:rsidR="00ED15C2" w:rsidRDefault="00714F66" w:rsidP="00EA4B5E">
      <w:pPr>
        <w:pStyle w:val="Heading2"/>
        <w:numPr>
          <w:ilvl w:val="1"/>
          <w:numId w:val="1"/>
        </w:numPr>
        <w:spacing w:line="276" w:lineRule="auto"/>
      </w:pPr>
      <w:r>
        <w:t>SUBMITTALS</w:t>
      </w:r>
    </w:p>
    <w:p w14:paraId="45CA48DB" w14:textId="3ACF18C5" w:rsidR="00714F66" w:rsidRDefault="00714F66" w:rsidP="00EA4B5E">
      <w:pPr>
        <w:pStyle w:val="Heading3"/>
        <w:spacing w:line="276" w:lineRule="auto"/>
      </w:pPr>
      <w:r>
        <w:t>Reference specification Section 23 05 00.</w:t>
      </w:r>
    </w:p>
    <w:p w14:paraId="3CC76423" w14:textId="10CD8738" w:rsidR="00714F66" w:rsidRDefault="00714F66" w:rsidP="00EA4B5E">
      <w:pPr>
        <w:pStyle w:val="Heading3"/>
        <w:spacing w:line="276" w:lineRule="auto"/>
      </w:pPr>
      <w:r>
        <w:t>The submittal shall include:</w:t>
      </w:r>
    </w:p>
    <w:p w14:paraId="3A5AE330" w14:textId="71E86263" w:rsidR="00714F66" w:rsidRDefault="00714F66" w:rsidP="00EA4B5E">
      <w:pPr>
        <w:pStyle w:val="Heading4"/>
        <w:spacing w:line="276" w:lineRule="auto"/>
      </w:pPr>
      <w:r>
        <w:t xml:space="preserve">Manufacturer’s product data including </w:t>
      </w:r>
      <w:r w:rsidR="00BA156C">
        <w:t xml:space="preserve">all equipment components such as terminal devices, etc. </w:t>
      </w:r>
    </w:p>
    <w:p w14:paraId="32BA7F44" w14:textId="6E5322A6" w:rsidR="00BA156C" w:rsidRDefault="00BA156C" w:rsidP="00EA4B5E">
      <w:pPr>
        <w:pStyle w:val="Heading4"/>
        <w:spacing w:line="276" w:lineRule="auto"/>
      </w:pPr>
      <w:r>
        <w:t>Shop drawings shall include schedule of air terminal devices with complete sizing data for each device.</w:t>
      </w:r>
    </w:p>
    <w:p w14:paraId="0E932B05" w14:textId="6E9F41C5" w:rsidR="00ED15C2" w:rsidRDefault="00BA156C" w:rsidP="00EA4B5E">
      <w:pPr>
        <w:pStyle w:val="Heading2"/>
        <w:numPr>
          <w:ilvl w:val="1"/>
          <w:numId w:val="1"/>
        </w:numPr>
        <w:spacing w:line="276" w:lineRule="auto"/>
      </w:pPr>
      <w:r>
        <w:t>DELIVERY, STORAGE, AND HANDLING</w:t>
      </w:r>
    </w:p>
    <w:p w14:paraId="35E8F6BF" w14:textId="12491D01" w:rsidR="00BA156C" w:rsidRDefault="00BA156C" w:rsidP="00EA4B5E">
      <w:pPr>
        <w:pStyle w:val="Heading3"/>
        <w:spacing w:line="276" w:lineRule="auto"/>
      </w:pPr>
      <w:r>
        <w:t>Store equipment and materials inside and protected from weather.</w:t>
      </w:r>
    </w:p>
    <w:p w14:paraId="52D86181" w14:textId="4173D1B1" w:rsidR="00BA156C" w:rsidRDefault="00BA156C" w:rsidP="00EA4B5E">
      <w:pPr>
        <w:pStyle w:val="Heading3"/>
        <w:spacing w:line="276" w:lineRule="auto"/>
      </w:pPr>
      <w:r>
        <w:t>Where control devices specified in this Section or on Drawings are indicated to be factory-mounted on equipment, arrange for shipping of control devices to unit manufacturer.</w:t>
      </w:r>
    </w:p>
    <w:p w14:paraId="5A394EDF" w14:textId="77777777" w:rsidR="00ED15C2" w:rsidRDefault="00ED15C2" w:rsidP="00EA4B5E">
      <w:pPr>
        <w:pStyle w:val="Heading1"/>
        <w:numPr>
          <w:ilvl w:val="0"/>
          <w:numId w:val="1"/>
        </w:numPr>
        <w:spacing w:line="276" w:lineRule="auto"/>
      </w:pPr>
      <w:r>
        <w:t>PRODUCTS</w:t>
      </w:r>
    </w:p>
    <w:p w14:paraId="0D4BBDF5" w14:textId="6134CA9E" w:rsidR="0099496E" w:rsidRDefault="0099496E" w:rsidP="00EA4B5E">
      <w:pPr>
        <w:pStyle w:val="Heading2"/>
        <w:numPr>
          <w:ilvl w:val="1"/>
          <w:numId w:val="1"/>
        </w:numPr>
        <w:spacing w:line="276" w:lineRule="auto"/>
      </w:pPr>
      <w:r>
        <w:t>MANUFACTURERS</w:t>
      </w:r>
    </w:p>
    <w:p w14:paraId="0ADDC3BA" w14:textId="1ABE0049" w:rsidR="00BA156C" w:rsidRDefault="00BA156C" w:rsidP="00EA4B5E">
      <w:pPr>
        <w:pStyle w:val="Heading3"/>
        <w:spacing w:line="276" w:lineRule="auto"/>
      </w:pPr>
      <w:r>
        <w:t>Acceptable manufacturers:</w:t>
      </w:r>
    </w:p>
    <w:p w14:paraId="3E2B7124" w14:textId="2270F1C0" w:rsidR="00BA156C" w:rsidRDefault="00BA156C" w:rsidP="00EA4B5E">
      <w:pPr>
        <w:pStyle w:val="Heading4"/>
        <w:spacing w:line="276" w:lineRule="auto"/>
      </w:pPr>
      <w:r>
        <w:t>Accuvalve AVT6000 series by Accutrol, LLC</w:t>
      </w:r>
    </w:p>
    <w:p w14:paraId="08C7A613" w14:textId="481E9CC0" w:rsidR="0062634F" w:rsidRDefault="0062634F" w:rsidP="00EA4B5E">
      <w:pPr>
        <w:pStyle w:val="Heading4"/>
        <w:spacing w:line="276" w:lineRule="auto"/>
      </w:pPr>
      <w:r>
        <w:t>Critical Room Control (CRC)</w:t>
      </w:r>
    </w:p>
    <w:p w14:paraId="062A7F43" w14:textId="739C8947" w:rsidR="00A77585" w:rsidRDefault="00AC5E83" w:rsidP="00EA4B5E">
      <w:pPr>
        <w:pStyle w:val="Heading3"/>
        <w:spacing w:line="276" w:lineRule="auto"/>
      </w:pPr>
      <w:r>
        <w:lastRenderedPageBreak/>
        <w:t>This specification is based on the AVT6000 electronically pressure independent Accuvalve by Accutrol, LLC. Laboratory valves to be furnished and installed by the contractor and integrated into the UNL control system.</w:t>
      </w:r>
    </w:p>
    <w:p w14:paraId="03EDC60B" w14:textId="397B10B6" w:rsidR="00AC5E83" w:rsidRDefault="00AC5E83" w:rsidP="00EA4B5E">
      <w:pPr>
        <w:pStyle w:val="Heading3"/>
        <w:spacing w:line="276" w:lineRule="auto"/>
      </w:pPr>
      <w:r>
        <w:t>Materials of Construction:</w:t>
      </w:r>
    </w:p>
    <w:p w14:paraId="58AEE89B" w14:textId="5AEB2FA5" w:rsidR="00AC5E83" w:rsidRDefault="00AC5E83" w:rsidP="00EA4B5E">
      <w:pPr>
        <w:pStyle w:val="Heading4"/>
        <w:spacing w:line="276" w:lineRule="auto"/>
      </w:pPr>
      <w:r>
        <w:t>Valve Housing: 304SS</w:t>
      </w:r>
    </w:p>
    <w:p w14:paraId="24B58D86" w14:textId="5774EA94" w:rsidR="00AC5E83" w:rsidRDefault="00AC5E83" w:rsidP="00EA4B5E">
      <w:pPr>
        <w:pStyle w:val="Heading4"/>
        <w:spacing w:line="276" w:lineRule="auto"/>
      </w:pPr>
      <w:r>
        <w:t>Shafts: 316SS</w:t>
      </w:r>
    </w:p>
    <w:p w14:paraId="3BDFAC32" w14:textId="2ABC8971" w:rsidR="00AC5E83" w:rsidRDefault="00AC5E83" w:rsidP="00EA4B5E">
      <w:pPr>
        <w:pStyle w:val="Heading4"/>
        <w:spacing w:line="276" w:lineRule="auto"/>
      </w:pPr>
      <w:r>
        <w:t>Shaft Bearings: Teflon</w:t>
      </w:r>
    </w:p>
    <w:p w14:paraId="5736517D" w14:textId="156A5165" w:rsidR="00AC5E83" w:rsidRDefault="00AC5E83" w:rsidP="00EA4B5E">
      <w:pPr>
        <w:pStyle w:val="Heading4"/>
        <w:spacing w:line="276" w:lineRule="auto"/>
      </w:pPr>
      <w:r>
        <w:t>Seals: Viton with stainless steel valves</w:t>
      </w:r>
    </w:p>
    <w:p w14:paraId="56EF2F9D" w14:textId="5BE0563C" w:rsidR="00AC5E83" w:rsidRDefault="008A1739" w:rsidP="00EA4B5E">
      <w:pPr>
        <w:pStyle w:val="Heading4"/>
        <w:spacing w:line="276" w:lineRule="auto"/>
      </w:pPr>
      <w:r>
        <w:t>Airflow Sensors: Polycarbonate Plastic, UL94-VO</w:t>
      </w:r>
    </w:p>
    <w:p w14:paraId="1C8BC0CB" w14:textId="1CD8E2BF" w:rsidR="008A1739" w:rsidRDefault="008A1739" w:rsidP="00EA4B5E">
      <w:pPr>
        <w:pStyle w:val="Heading4"/>
        <w:spacing w:line="276" w:lineRule="auto"/>
      </w:pPr>
      <w:r>
        <w:t>Control Module Enclosure: 16 Gauge aluminum</w:t>
      </w:r>
    </w:p>
    <w:p w14:paraId="7E18B09C" w14:textId="007CDD33" w:rsidR="008A1739" w:rsidRDefault="008A1739" w:rsidP="00EA4B5E">
      <w:pPr>
        <w:pStyle w:val="Heading3"/>
        <w:spacing w:line="276" w:lineRule="auto"/>
      </w:pPr>
      <w:r>
        <w:t>Performance:</w:t>
      </w:r>
    </w:p>
    <w:p w14:paraId="68776EC5" w14:textId="041D275D" w:rsidR="008A1739" w:rsidRDefault="009C1350" w:rsidP="00EA4B5E">
      <w:pPr>
        <w:pStyle w:val="Heading4"/>
        <w:spacing w:line="276" w:lineRule="auto"/>
      </w:pPr>
      <w:r>
        <w:t>Accuracy: +/-5.0% of reading or 5 CFM (2 L/S; 8 CMH), whichever is greater</w:t>
      </w:r>
    </w:p>
    <w:p w14:paraId="40294315" w14:textId="71F87766" w:rsidR="009C1350" w:rsidRDefault="009C1350" w:rsidP="00EA4B5E">
      <w:pPr>
        <w:pStyle w:val="Heading4"/>
        <w:spacing w:line="276" w:lineRule="auto"/>
      </w:pPr>
      <w:r>
        <w:t>Speed of Response: &lt; 1 second</w:t>
      </w:r>
    </w:p>
    <w:p w14:paraId="5B7171BD" w14:textId="7FBD6ECE" w:rsidR="009C1350" w:rsidRDefault="00914D41" w:rsidP="00EA4B5E">
      <w:pPr>
        <w:pStyle w:val="Heading4"/>
        <w:spacing w:line="276" w:lineRule="auto"/>
      </w:pPr>
      <w:r>
        <w:t>Shut-Off Leakage Rate @ 3” wc valve DP: &lt;1.5% FS max (round valves), &lt;2% rectangular valves</w:t>
      </w:r>
    </w:p>
    <w:p w14:paraId="320D14C8" w14:textId="754123A6" w:rsidR="00914D41" w:rsidRDefault="00914D41" w:rsidP="00EA4B5E">
      <w:pPr>
        <w:pStyle w:val="Heading4"/>
        <w:spacing w:line="276" w:lineRule="auto"/>
      </w:pPr>
      <w:r>
        <w:t xml:space="preserve">Max. Operating Pressure: </w:t>
      </w:r>
      <w:r w:rsidR="004C4C4D">
        <w:t>3” wc differential pressure across valve</w:t>
      </w:r>
    </w:p>
    <w:p w14:paraId="5730153C" w14:textId="0DCBA85F" w:rsidR="004C4C4D" w:rsidRDefault="004C4C4D" w:rsidP="00EA4B5E">
      <w:pPr>
        <w:pStyle w:val="Heading4"/>
        <w:spacing w:line="276" w:lineRule="auto"/>
      </w:pPr>
      <w:r>
        <w:t>Failure mode: Fail Last Position or Fail Open/Closed</w:t>
      </w:r>
    </w:p>
    <w:p w14:paraId="7C056F56" w14:textId="6C215E50" w:rsidR="004C4C4D" w:rsidRDefault="004C4C4D" w:rsidP="00EA4B5E">
      <w:pPr>
        <w:pStyle w:val="Heading3"/>
        <w:spacing w:line="276" w:lineRule="auto"/>
      </w:pPr>
      <w:r>
        <w:t>Environmental:</w:t>
      </w:r>
    </w:p>
    <w:p w14:paraId="4EF66BA1" w14:textId="38D3931F" w:rsidR="004C4C4D" w:rsidRDefault="004C4C4D" w:rsidP="00EA4B5E">
      <w:pPr>
        <w:pStyle w:val="Heading4"/>
        <w:spacing w:line="276" w:lineRule="auto"/>
      </w:pPr>
      <w:r>
        <w:t xml:space="preserve">Temperature: </w:t>
      </w:r>
    </w:p>
    <w:p w14:paraId="07670B12" w14:textId="2133BB00" w:rsidR="004C4C4D" w:rsidRDefault="004C4C4D" w:rsidP="00EA4B5E">
      <w:pPr>
        <w:pStyle w:val="Heading5"/>
        <w:spacing w:line="276" w:lineRule="auto"/>
      </w:pPr>
      <w:r>
        <w:t>Operating: 0 to 150 deg. F (-18 to 66 deg. C)</w:t>
      </w:r>
    </w:p>
    <w:p w14:paraId="19F508BE" w14:textId="5BF6996A" w:rsidR="004C4C4D" w:rsidRDefault="004C4C4D" w:rsidP="00EA4B5E">
      <w:pPr>
        <w:pStyle w:val="Heading5"/>
        <w:spacing w:line="276" w:lineRule="auto"/>
      </w:pPr>
      <w:r>
        <w:t>Storage: -40 to 150 deg. F (-</w:t>
      </w:r>
      <w:r w:rsidR="001610A3">
        <w:t>40 to 66 deg. C)</w:t>
      </w:r>
    </w:p>
    <w:p w14:paraId="24FF7E3F" w14:textId="4609FFB3" w:rsidR="001610A3" w:rsidRDefault="001610A3" w:rsidP="00EA4B5E">
      <w:pPr>
        <w:pStyle w:val="Heading4"/>
        <w:spacing w:line="276" w:lineRule="auto"/>
      </w:pPr>
      <w:r>
        <w:t>Humidity: 0 to 90% non-condensing</w:t>
      </w:r>
    </w:p>
    <w:p w14:paraId="7A41E014" w14:textId="6E7A8BCC" w:rsidR="001610A3" w:rsidRDefault="001610A3" w:rsidP="00EA4B5E">
      <w:pPr>
        <w:pStyle w:val="Heading3"/>
        <w:spacing w:line="276" w:lineRule="auto"/>
      </w:pPr>
      <w:r>
        <w:t>Electrical:</w:t>
      </w:r>
    </w:p>
    <w:p w14:paraId="599DA7C7" w14:textId="0E5249C0" w:rsidR="001610A3" w:rsidRDefault="001610A3" w:rsidP="00EA4B5E">
      <w:pPr>
        <w:pStyle w:val="Heading4"/>
        <w:spacing w:line="276" w:lineRule="auto"/>
      </w:pPr>
      <w:r>
        <w:t>Input power:</w:t>
      </w:r>
    </w:p>
    <w:p w14:paraId="156376D7" w14:textId="4B0CF809" w:rsidR="001610A3" w:rsidRDefault="00A97421" w:rsidP="00EA4B5E">
      <w:pPr>
        <w:pStyle w:val="Heading5"/>
        <w:spacing w:line="276" w:lineRule="auto"/>
      </w:pPr>
      <w:r>
        <w:t>24VAC +/-20% 50-60Hz, 28VA max. for single valves, 55VA max. for dual valves</w:t>
      </w:r>
    </w:p>
    <w:p w14:paraId="1579672C" w14:textId="1E70782E" w:rsidR="00A97421" w:rsidRDefault="00004532" w:rsidP="00EA4B5E">
      <w:pPr>
        <w:pStyle w:val="Heading5"/>
        <w:spacing w:line="276" w:lineRule="auto"/>
      </w:pPr>
      <w:r>
        <w:t>24VDC +/-10%, 15W max. for single valves, 30W max. for dual valves</w:t>
      </w:r>
    </w:p>
    <w:p w14:paraId="52016397" w14:textId="660B6207" w:rsidR="00004532" w:rsidRDefault="00004532" w:rsidP="00EA4B5E">
      <w:pPr>
        <w:pStyle w:val="Heading2"/>
        <w:spacing w:line="276" w:lineRule="auto"/>
      </w:pPr>
      <w:r>
        <w:t>INTERFACE TO BUILDING AUTOMATION SYSTEM</w:t>
      </w:r>
    </w:p>
    <w:p w14:paraId="62E8021D" w14:textId="422EE35D" w:rsidR="00EA4B5E" w:rsidRDefault="00EA4B5E" w:rsidP="00EA4B5E">
      <w:pPr>
        <w:pStyle w:val="Heading3"/>
        <w:spacing w:line="276" w:lineRule="auto"/>
      </w:pPr>
      <w:r>
        <w:t>Integrate with Building Automation System (BAS). Coordinate with UNL BSM.</w:t>
      </w:r>
    </w:p>
    <w:p w14:paraId="77F8667D" w14:textId="77777777" w:rsidR="00ED15C2" w:rsidRDefault="00ED15C2" w:rsidP="00EA4B5E">
      <w:pPr>
        <w:pStyle w:val="Heading1"/>
        <w:numPr>
          <w:ilvl w:val="0"/>
          <w:numId w:val="1"/>
        </w:numPr>
        <w:spacing w:line="276" w:lineRule="auto"/>
      </w:pPr>
      <w:r>
        <w:t>EXECUTION</w:t>
      </w:r>
    </w:p>
    <w:p w14:paraId="4DA4E08B" w14:textId="77777777" w:rsidR="00ED15C2" w:rsidRDefault="00ED15C2" w:rsidP="00EA4B5E">
      <w:pPr>
        <w:pStyle w:val="Heading2"/>
        <w:numPr>
          <w:ilvl w:val="1"/>
          <w:numId w:val="1"/>
        </w:numPr>
        <w:spacing w:line="276" w:lineRule="auto"/>
      </w:pPr>
      <w:r>
        <w:t>INSTALLATION</w:t>
      </w:r>
    </w:p>
    <w:p w14:paraId="225C184A" w14:textId="2C6BDD83" w:rsidR="00EA4B5E" w:rsidRDefault="00EA4B5E" w:rsidP="00EA4B5E">
      <w:pPr>
        <w:pStyle w:val="Heading3"/>
        <w:spacing w:line="276" w:lineRule="auto"/>
      </w:pPr>
      <w:r>
        <w:t>Install all system components in accordance with manufacturer recommendations and requirements.</w:t>
      </w:r>
    </w:p>
    <w:p w14:paraId="29487836" w14:textId="7754A868" w:rsidR="00EA4B5E" w:rsidRDefault="00EA4B5E" w:rsidP="00EA4B5E">
      <w:pPr>
        <w:pStyle w:val="Heading3"/>
        <w:spacing w:line="276" w:lineRule="auto"/>
      </w:pPr>
      <w:r>
        <w:t>Coordinate all work with Division 16 Contractor and other trades.</w:t>
      </w:r>
    </w:p>
    <w:p w14:paraId="786FE9E5" w14:textId="211C9339" w:rsidR="00EA4B5E" w:rsidRDefault="00EA4B5E" w:rsidP="00EA4B5E">
      <w:pPr>
        <w:pStyle w:val="Heading3"/>
        <w:spacing w:line="276" w:lineRule="auto"/>
      </w:pPr>
      <w:r>
        <w:lastRenderedPageBreak/>
        <w:t>Contractor and LACS Supplier shall coordinate the integration of the BAS and LACS systems with UNL BSM.</w:t>
      </w:r>
    </w:p>
    <w:p w14:paraId="18EAFD27" w14:textId="2F12CAC4" w:rsidR="00EA4B5E" w:rsidRDefault="00EA4B5E" w:rsidP="00EA4B5E">
      <w:pPr>
        <w:pStyle w:val="Heading3"/>
        <w:spacing w:line="276" w:lineRule="auto"/>
      </w:pPr>
      <w:r>
        <w:t>Coordinate 120V power requirements and locations with Division 26 contractor.</w:t>
      </w:r>
    </w:p>
    <w:p w14:paraId="46901FC2" w14:textId="5BD8C83D" w:rsidR="00EA4B5E" w:rsidRDefault="00EA4B5E" w:rsidP="00EA4B5E">
      <w:pPr>
        <w:pStyle w:val="Heading3"/>
        <w:spacing w:line="276" w:lineRule="auto"/>
      </w:pPr>
      <w:r>
        <w:t>Install all airflow control devices in the ductwork and connect all airflow control valve linkages. The use of screws or rivets to connect ductwork to airflow control devices is not allowed unless expressly allowed by the LACS manufacturer and approved by the Engineer or Owner’s Representative.</w:t>
      </w:r>
    </w:p>
    <w:p w14:paraId="1678A13A" w14:textId="28C746C8" w:rsidR="00EA4B5E" w:rsidRDefault="00EA4B5E" w:rsidP="00EA4B5E">
      <w:pPr>
        <w:pStyle w:val="Heading3"/>
        <w:spacing w:line="276" w:lineRule="auto"/>
      </w:pPr>
      <w:r>
        <w:t xml:space="preserve">Provide and install all transitions. </w:t>
      </w:r>
    </w:p>
    <w:p w14:paraId="2CE51486" w14:textId="384202F1" w:rsidR="00EA4B5E" w:rsidRDefault="00EA4B5E" w:rsidP="00EA4B5E">
      <w:pPr>
        <w:pStyle w:val="Heading3"/>
        <w:spacing w:line="276" w:lineRule="auto"/>
      </w:pPr>
      <w:r>
        <w:t>Provide and install insulation as required. Insulate all exposed areas of the supply air duct system.</w:t>
      </w:r>
    </w:p>
    <w:p w14:paraId="2256E356" w14:textId="77777777" w:rsidR="00ED15C2" w:rsidRDefault="00ED15C2" w:rsidP="00EA4B5E">
      <w:pPr>
        <w:keepNext w:val="0"/>
        <w:widowControl w:val="0"/>
        <w:spacing w:line="276" w:lineRule="auto"/>
      </w:pPr>
    </w:p>
    <w:p w14:paraId="7A5C1954" w14:textId="369DE786" w:rsidR="004334B1" w:rsidRPr="001670DA" w:rsidRDefault="00ED15C2" w:rsidP="00EA4B5E">
      <w:pPr>
        <w:keepNext w:val="0"/>
        <w:widowControl w:val="0"/>
        <w:tabs>
          <w:tab w:val="left" w:pos="1296"/>
          <w:tab w:val="left" w:pos="1728"/>
          <w:tab w:val="left" w:pos="3456"/>
          <w:tab w:val="left" w:pos="5616"/>
          <w:tab w:val="left" w:pos="7776"/>
        </w:tabs>
        <w:spacing w:line="276" w:lineRule="auto"/>
        <w:jc w:val="both"/>
        <w:rPr>
          <w:vertAlign w:val="subscript"/>
        </w:rPr>
      </w:pPr>
      <w:r>
        <w:t>END OF SECTION</w:t>
      </w:r>
      <w:r w:rsidR="00EA4B5E">
        <w:t xml:space="preserve"> 23 36 50</w:t>
      </w:r>
    </w:p>
    <w:sectPr w:rsidR="004334B1" w:rsidRPr="001670DA" w:rsidSect="00B047CA">
      <w:headerReference w:type="default" r:id="rId11"/>
      <w:footerReference w:type="default" r:id="rId12"/>
      <w:pgSz w:w="12240" w:h="15840" w:code="1"/>
      <w:pgMar w:top="720" w:right="144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1C589" w14:textId="77777777" w:rsidR="00D36485" w:rsidRDefault="00D36485">
      <w:r>
        <w:separator/>
      </w:r>
    </w:p>
  </w:endnote>
  <w:endnote w:type="continuationSeparator" w:id="0">
    <w:p w14:paraId="1FC547EA" w14:textId="77777777" w:rsidR="00D36485" w:rsidRDefault="00D3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E0BA" w14:textId="77777777" w:rsidR="007909EC" w:rsidRDefault="007909EC" w:rsidP="005D6C95">
    <w:pPr>
      <w:pStyle w:val="Foo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29"/>
      <w:gridCol w:w="3244"/>
    </w:tblGrid>
    <w:tr w:rsidR="00526D67" w14:paraId="059437E2" w14:textId="77777777" w:rsidTr="002836A0">
      <w:trPr>
        <w:jc w:val="center"/>
      </w:trPr>
      <w:tc>
        <w:tcPr>
          <w:tcW w:w="3480" w:type="dxa"/>
        </w:tcPr>
        <w:p w14:paraId="331C3450" w14:textId="77777777" w:rsidR="00526D67" w:rsidRDefault="00511F27" w:rsidP="00063DAF">
          <w:pPr>
            <w:pStyle w:val="Footer"/>
            <w:tabs>
              <w:tab w:val="clear" w:pos="8640"/>
              <w:tab w:val="right" w:pos="10080"/>
            </w:tabs>
            <w:rPr>
              <w:sz w:val="16"/>
              <w:szCs w:val="16"/>
            </w:rPr>
          </w:pPr>
          <w:r>
            <w:rPr>
              <w:sz w:val="16"/>
              <w:szCs w:val="16"/>
            </w:rPr>
            <w:t>University of Nebraska</w:t>
          </w:r>
        </w:p>
      </w:tc>
      <w:tc>
        <w:tcPr>
          <w:tcW w:w="3480" w:type="dxa"/>
        </w:tcPr>
        <w:p w14:paraId="5C0FAB64" w14:textId="77777777" w:rsidR="00526D67" w:rsidRDefault="00526D67" w:rsidP="00063DAF">
          <w:pPr>
            <w:pStyle w:val="Footer"/>
            <w:tabs>
              <w:tab w:val="clear" w:pos="8640"/>
              <w:tab w:val="right" w:pos="10080"/>
            </w:tabs>
            <w:jc w:val="center"/>
            <w:rPr>
              <w:sz w:val="16"/>
              <w:szCs w:val="16"/>
            </w:rPr>
          </w:pPr>
        </w:p>
      </w:tc>
      <w:tc>
        <w:tcPr>
          <w:tcW w:w="3480" w:type="dxa"/>
        </w:tcPr>
        <w:p w14:paraId="602EFC5C" w14:textId="48D2D989" w:rsidR="00526D67" w:rsidRPr="00FC2579" w:rsidRDefault="000244F6" w:rsidP="00063DAF">
          <w:pPr>
            <w:pStyle w:val="Footer"/>
            <w:tabs>
              <w:tab w:val="clear" w:pos="8640"/>
              <w:tab w:val="right" w:pos="10080"/>
            </w:tabs>
            <w:ind w:left="-105"/>
            <w:jc w:val="right"/>
            <w:rPr>
              <w:sz w:val="16"/>
              <w:szCs w:val="16"/>
            </w:rPr>
          </w:pPr>
          <w:r w:rsidRPr="00FC2579">
            <w:rPr>
              <w:sz w:val="16"/>
              <w:szCs w:val="16"/>
            </w:rPr>
            <w:t>23 36 50 Laboratory Airflow Control</w:t>
          </w:r>
          <w:r w:rsidR="00A82529" w:rsidRPr="00FC2579">
            <w:rPr>
              <w:sz w:val="16"/>
              <w:szCs w:val="16"/>
            </w:rPr>
            <w:t xml:space="preserve"> System</w:t>
          </w:r>
        </w:p>
      </w:tc>
    </w:tr>
    <w:tr w:rsidR="00526D67" w14:paraId="197398D6" w14:textId="77777777" w:rsidTr="00063DAF">
      <w:trPr>
        <w:jc w:val="center"/>
      </w:trPr>
      <w:tc>
        <w:tcPr>
          <w:tcW w:w="3480" w:type="dxa"/>
        </w:tcPr>
        <w:p w14:paraId="22308024" w14:textId="507BF5F7" w:rsidR="00526D67" w:rsidRDefault="0040789F" w:rsidP="00063DAF">
          <w:pPr>
            <w:pStyle w:val="Footer"/>
            <w:tabs>
              <w:tab w:val="clear" w:pos="8640"/>
              <w:tab w:val="right" w:pos="10080"/>
            </w:tabs>
            <w:rPr>
              <w:sz w:val="16"/>
              <w:szCs w:val="16"/>
            </w:rPr>
          </w:pPr>
          <w:r>
            <w:rPr>
              <w:sz w:val="16"/>
              <w:szCs w:val="16"/>
            </w:rPr>
            <w:t xml:space="preserve">Revised </w:t>
          </w:r>
          <w:r w:rsidR="008A7386">
            <w:rPr>
              <w:sz w:val="16"/>
              <w:szCs w:val="16"/>
            </w:rPr>
            <w:t>07/2025</w:t>
          </w:r>
        </w:p>
      </w:tc>
      <w:tc>
        <w:tcPr>
          <w:tcW w:w="3480" w:type="dxa"/>
        </w:tcPr>
        <w:p w14:paraId="39B0B0E8" w14:textId="77777777" w:rsidR="00526D67" w:rsidRDefault="00526D67" w:rsidP="00063DAF">
          <w:pPr>
            <w:pStyle w:val="Footer"/>
            <w:tabs>
              <w:tab w:val="clear" w:pos="8640"/>
              <w:tab w:val="right" w:pos="10080"/>
            </w:tabs>
            <w:jc w:val="center"/>
            <w:rPr>
              <w:sz w:val="16"/>
              <w:szCs w:val="16"/>
            </w:rPr>
          </w:pPr>
          <w:r>
            <w:rPr>
              <w:sz w:val="16"/>
              <w:szCs w:val="16"/>
            </w:rPr>
            <w:t>Project #   Project Name</w:t>
          </w:r>
        </w:p>
      </w:tc>
      <w:tc>
        <w:tcPr>
          <w:tcW w:w="3480" w:type="dxa"/>
        </w:tcPr>
        <w:p w14:paraId="4A7F873A" w14:textId="77777777" w:rsidR="00526D67" w:rsidRPr="00FC2579" w:rsidRDefault="00526D67" w:rsidP="00063DAF">
          <w:pPr>
            <w:pStyle w:val="Footer"/>
            <w:tabs>
              <w:tab w:val="clear" w:pos="8640"/>
              <w:tab w:val="right" w:pos="10080"/>
            </w:tabs>
            <w:jc w:val="right"/>
            <w:rPr>
              <w:sz w:val="16"/>
              <w:szCs w:val="16"/>
            </w:rPr>
          </w:pPr>
          <w:r w:rsidRPr="00FC2579">
            <w:rPr>
              <w:rFonts w:cs="Arial"/>
              <w:sz w:val="16"/>
              <w:szCs w:val="16"/>
            </w:rPr>
            <w:t xml:space="preserve">Page </w:t>
          </w:r>
          <w:r w:rsidRPr="00FC2579">
            <w:rPr>
              <w:rStyle w:val="PageNumber"/>
              <w:rFonts w:cs="Arial"/>
              <w:sz w:val="16"/>
              <w:szCs w:val="16"/>
            </w:rPr>
            <w:fldChar w:fldCharType="begin"/>
          </w:r>
          <w:r w:rsidRPr="00FC2579">
            <w:rPr>
              <w:rStyle w:val="PageNumber"/>
              <w:rFonts w:cs="Arial"/>
              <w:sz w:val="16"/>
              <w:szCs w:val="16"/>
            </w:rPr>
            <w:instrText xml:space="preserve"> PAGE </w:instrText>
          </w:r>
          <w:r w:rsidRPr="00FC2579">
            <w:rPr>
              <w:rStyle w:val="PageNumber"/>
              <w:rFonts w:cs="Arial"/>
              <w:sz w:val="16"/>
              <w:szCs w:val="16"/>
            </w:rPr>
            <w:fldChar w:fldCharType="separate"/>
          </w:r>
          <w:r w:rsidR="004B3A2A" w:rsidRPr="00FC2579">
            <w:rPr>
              <w:rStyle w:val="PageNumber"/>
              <w:rFonts w:cs="Arial"/>
              <w:noProof/>
              <w:sz w:val="16"/>
              <w:szCs w:val="16"/>
            </w:rPr>
            <w:t>1</w:t>
          </w:r>
          <w:r w:rsidRPr="00FC2579">
            <w:rPr>
              <w:rStyle w:val="PageNumber"/>
              <w:rFonts w:cs="Arial"/>
              <w:sz w:val="16"/>
              <w:szCs w:val="16"/>
            </w:rPr>
            <w:fldChar w:fldCharType="end"/>
          </w:r>
          <w:r w:rsidRPr="00FC2579">
            <w:rPr>
              <w:rStyle w:val="PageNumber"/>
              <w:rFonts w:cs="Arial"/>
              <w:sz w:val="16"/>
              <w:szCs w:val="16"/>
            </w:rPr>
            <w:t xml:space="preserve"> of </w:t>
          </w:r>
          <w:r w:rsidRPr="00FC2579">
            <w:rPr>
              <w:rStyle w:val="PageNumber"/>
              <w:rFonts w:cs="Arial"/>
              <w:sz w:val="16"/>
              <w:szCs w:val="16"/>
            </w:rPr>
            <w:fldChar w:fldCharType="begin"/>
          </w:r>
          <w:r w:rsidRPr="00FC2579">
            <w:rPr>
              <w:rStyle w:val="PageNumber"/>
              <w:rFonts w:cs="Arial"/>
              <w:sz w:val="16"/>
              <w:szCs w:val="16"/>
            </w:rPr>
            <w:instrText xml:space="preserve"> NUMPAGES </w:instrText>
          </w:r>
          <w:r w:rsidRPr="00FC2579">
            <w:rPr>
              <w:rStyle w:val="PageNumber"/>
              <w:rFonts w:cs="Arial"/>
              <w:sz w:val="16"/>
              <w:szCs w:val="16"/>
            </w:rPr>
            <w:fldChar w:fldCharType="separate"/>
          </w:r>
          <w:r w:rsidR="004B3A2A" w:rsidRPr="00FC2579">
            <w:rPr>
              <w:rStyle w:val="PageNumber"/>
              <w:rFonts w:cs="Arial"/>
              <w:noProof/>
              <w:sz w:val="16"/>
              <w:szCs w:val="16"/>
            </w:rPr>
            <w:t>2</w:t>
          </w:r>
          <w:r w:rsidRPr="00FC2579">
            <w:rPr>
              <w:rStyle w:val="PageNumber"/>
              <w:rFonts w:cs="Arial"/>
              <w:sz w:val="16"/>
              <w:szCs w:val="16"/>
            </w:rPr>
            <w:fldChar w:fldCharType="end"/>
          </w:r>
        </w:p>
      </w:tc>
    </w:tr>
  </w:tbl>
  <w:p w14:paraId="02BAF847" w14:textId="77777777" w:rsidR="00526D67" w:rsidRPr="005D6C95" w:rsidRDefault="00526D67" w:rsidP="005D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D2DDB" w14:textId="77777777" w:rsidR="00D36485" w:rsidRDefault="00D36485">
      <w:r>
        <w:separator/>
      </w:r>
    </w:p>
  </w:footnote>
  <w:footnote w:type="continuationSeparator" w:id="0">
    <w:p w14:paraId="11FD8972" w14:textId="77777777" w:rsidR="00D36485" w:rsidRDefault="00D3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BFAB" w14:textId="3A955CD6" w:rsidR="00F3308F" w:rsidRDefault="00F3308F" w:rsidP="00295F39">
    <w:pPr>
      <w:widowControl w:val="0"/>
      <w:tabs>
        <w:tab w:val="center" w:pos="4680"/>
        <w:tab w:val="left" w:pos="7776"/>
      </w:tabs>
      <w:spacing w:after="240"/>
      <w:jc w:val="both"/>
      <w:rPr>
        <w:b/>
      </w:rPr>
    </w:pPr>
    <w:r w:rsidRPr="00273E06">
      <w:rPr>
        <w:b/>
      </w:rPr>
      <w:t xml:space="preserve">SECTION </w:t>
    </w:r>
    <w:r w:rsidR="000244F6">
      <w:rPr>
        <w:b/>
      </w:rPr>
      <w:t>23 36 50 – LABORATORY AIRFLOW CONTROL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5481274"/>
    <w:lvl w:ilvl="0">
      <w:start w:val="1"/>
      <w:numFmt w:val="decimal"/>
      <w:pStyle w:val="Heading1"/>
      <w:lvlText w:val="%1."/>
      <w:lvlJc w:val="left"/>
      <w:pPr>
        <w:tabs>
          <w:tab w:val="num" w:pos="864"/>
        </w:tabs>
        <w:ind w:left="0" w:firstLine="0"/>
      </w:pPr>
      <w:rPr>
        <w:rFonts w:ascii="Arial" w:hAnsi="Arial" w:hint="default"/>
        <w:b/>
        <w:i w:val="0"/>
        <w:caps/>
        <w:sz w:val="20"/>
        <w:szCs w:val="20"/>
      </w:rPr>
    </w:lvl>
    <w:lvl w:ilvl="1">
      <w:start w:val="1"/>
      <w:numFmt w:val="decimal"/>
      <w:pStyle w:val="Heading2"/>
      <w:lvlText w:val="%1.%2"/>
      <w:lvlJc w:val="left"/>
      <w:pPr>
        <w:tabs>
          <w:tab w:val="num" w:pos="864"/>
        </w:tabs>
        <w:ind w:left="864" w:hanging="864"/>
      </w:pPr>
      <w:rPr>
        <w:rFonts w:ascii="Arial" w:hAnsi="Arial" w:hint="default"/>
        <w:b w:val="0"/>
        <w:i w:val="0"/>
        <w:caps/>
        <w:sz w:val="20"/>
        <w:szCs w:val="20"/>
      </w:rPr>
    </w:lvl>
    <w:lvl w:ilvl="2">
      <w:start w:val="1"/>
      <w:numFmt w:val="upperLetter"/>
      <w:pStyle w:val="Heading3"/>
      <w:lvlText w:val="%3."/>
      <w:lvlJc w:val="left"/>
      <w:pPr>
        <w:tabs>
          <w:tab w:val="num" w:pos="936"/>
        </w:tabs>
        <w:ind w:left="936" w:hanging="576"/>
      </w:pPr>
      <w:rPr>
        <w:rFonts w:ascii="Arial" w:hAnsi="Arial" w:hint="default"/>
        <w:color w:val="auto"/>
        <w:sz w:val="20"/>
        <w:szCs w:val="20"/>
      </w:rPr>
    </w:lvl>
    <w:lvl w:ilvl="3">
      <w:start w:val="1"/>
      <w:numFmt w:val="decimal"/>
      <w:pStyle w:val="Heading4"/>
      <w:lvlText w:val="%4."/>
      <w:lvlJc w:val="left"/>
      <w:pPr>
        <w:tabs>
          <w:tab w:val="num" w:pos="1440"/>
        </w:tabs>
        <w:ind w:left="1440" w:hanging="576"/>
      </w:pPr>
      <w:rPr>
        <w:rFonts w:ascii="Arial" w:hAnsi="Arial" w:hint="default"/>
        <w:sz w:val="20"/>
        <w:szCs w:val="20"/>
      </w:rPr>
    </w:lvl>
    <w:lvl w:ilvl="4">
      <w:start w:val="1"/>
      <w:numFmt w:val="lowerLetter"/>
      <w:pStyle w:val="Heading5"/>
      <w:lvlText w:val="%5."/>
      <w:lvlJc w:val="left"/>
      <w:pPr>
        <w:tabs>
          <w:tab w:val="num" w:pos="2016"/>
        </w:tabs>
        <w:ind w:left="2016" w:hanging="576"/>
      </w:pPr>
      <w:rPr>
        <w:rFonts w:ascii="Arial" w:hAnsi="Arial" w:hint="default"/>
        <w:sz w:val="20"/>
        <w:szCs w:val="20"/>
      </w:rPr>
    </w:lvl>
    <w:lvl w:ilvl="5">
      <w:start w:val="1"/>
      <w:numFmt w:val="decimal"/>
      <w:pStyle w:val="Heading6"/>
      <w:lvlText w:val="%6)"/>
      <w:lvlJc w:val="left"/>
      <w:pPr>
        <w:tabs>
          <w:tab w:val="num" w:pos="2592"/>
        </w:tabs>
        <w:ind w:left="2592" w:hanging="576"/>
      </w:pPr>
      <w:rPr>
        <w:rFonts w:ascii="Arial" w:hAnsi="Arial" w:hint="default"/>
        <w:sz w:val="20"/>
        <w:szCs w:val="20"/>
      </w:rPr>
    </w:lvl>
    <w:lvl w:ilvl="6">
      <w:start w:val="1"/>
      <w:numFmt w:val="lowerLetter"/>
      <w:pStyle w:val="Heading7"/>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33504554">
    <w:abstractNumId w:val="0"/>
  </w:num>
  <w:num w:numId="2" w16cid:durableId="1868103684">
    <w:abstractNumId w:val="0"/>
  </w:num>
  <w:num w:numId="3" w16cid:durableId="549804003">
    <w:abstractNumId w:val="0"/>
  </w:num>
  <w:num w:numId="4" w16cid:durableId="940649990">
    <w:abstractNumId w:val="0"/>
  </w:num>
  <w:num w:numId="5" w16cid:durableId="2097556446">
    <w:abstractNumId w:val="0"/>
  </w:num>
  <w:num w:numId="6" w16cid:durableId="1337147288">
    <w:abstractNumId w:val="0"/>
  </w:num>
  <w:num w:numId="7" w16cid:durableId="1835147641">
    <w:abstractNumId w:val="0"/>
  </w:num>
  <w:num w:numId="8" w16cid:durableId="1155872562">
    <w:abstractNumId w:val="0"/>
  </w:num>
  <w:num w:numId="9" w16cid:durableId="1030572920">
    <w:abstractNumId w:val="0"/>
  </w:num>
  <w:num w:numId="10" w16cid:durableId="1587374383">
    <w:abstractNumId w:val="0"/>
  </w:num>
  <w:num w:numId="11" w16cid:durableId="2061322146">
    <w:abstractNumId w:val="0"/>
  </w:num>
  <w:num w:numId="12" w16cid:durableId="552277339">
    <w:abstractNumId w:val="0"/>
  </w:num>
  <w:num w:numId="13" w16cid:durableId="1809666421">
    <w:abstractNumId w:val="0"/>
  </w:num>
  <w:num w:numId="14" w16cid:durableId="1989556938">
    <w:abstractNumId w:val="0"/>
  </w:num>
  <w:num w:numId="15" w16cid:durableId="602031651">
    <w:abstractNumId w:val="0"/>
  </w:num>
  <w:num w:numId="16" w16cid:durableId="1122840035">
    <w:abstractNumId w:val="0"/>
  </w:num>
  <w:num w:numId="17" w16cid:durableId="834222692">
    <w:abstractNumId w:val="0"/>
  </w:num>
  <w:num w:numId="18" w16cid:durableId="395975418">
    <w:abstractNumId w:val="0"/>
  </w:num>
  <w:num w:numId="19" w16cid:durableId="2025939148">
    <w:abstractNumId w:val="0"/>
  </w:num>
  <w:num w:numId="20" w16cid:durableId="1213733352">
    <w:abstractNumId w:val="0"/>
  </w:num>
  <w:num w:numId="21" w16cid:durableId="1933856769">
    <w:abstractNumId w:val="0"/>
  </w:num>
  <w:num w:numId="22" w16cid:durableId="2098475734">
    <w:abstractNumId w:val="0"/>
  </w:num>
  <w:num w:numId="23" w16cid:durableId="256907597">
    <w:abstractNumId w:val="0"/>
  </w:num>
  <w:num w:numId="24" w16cid:durableId="451749882">
    <w:abstractNumId w:val="0"/>
  </w:num>
  <w:num w:numId="25" w16cid:durableId="306471737">
    <w:abstractNumId w:val="0"/>
  </w:num>
  <w:num w:numId="26" w16cid:durableId="1673676175">
    <w:abstractNumId w:val="0"/>
  </w:num>
  <w:num w:numId="27" w16cid:durableId="299387583">
    <w:abstractNumId w:val="0"/>
  </w:num>
  <w:num w:numId="28" w16cid:durableId="1345476603">
    <w:abstractNumId w:val="0"/>
  </w:num>
  <w:num w:numId="29" w16cid:durableId="211890883">
    <w:abstractNumId w:val="0"/>
  </w:num>
  <w:num w:numId="30" w16cid:durableId="2002538423">
    <w:abstractNumId w:val="0"/>
  </w:num>
  <w:num w:numId="31" w16cid:durableId="739407947">
    <w:abstractNumId w:val="0"/>
  </w:num>
  <w:num w:numId="32" w16cid:durableId="1096709767">
    <w:abstractNumId w:val="0"/>
  </w:num>
  <w:num w:numId="33" w16cid:durableId="75709810">
    <w:abstractNumId w:val="0"/>
  </w:num>
  <w:num w:numId="34" w16cid:durableId="417021930">
    <w:abstractNumId w:val="0"/>
  </w:num>
  <w:num w:numId="35" w16cid:durableId="1559512493">
    <w:abstractNumId w:val="0"/>
  </w:num>
  <w:num w:numId="36" w16cid:durableId="195382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5A"/>
    <w:rsid w:val="00004532"/>
    <w:rsid w:val="00005BDF"/>
    <w:rsid w:val="00010EC3"/>
    <w:rsid w:val="00022F4B"/>
    <w:rsid w:val="000244F6"/>
    <w:rsid w:val="00036F11"/>
    <w:rsid w:val="00053BAE"/>
    <w:rsid w:val="00062D02"/>
    <w:rsid w:val="00064BCA"/>
    <w:rsid w:val="000655FF"/>
    <w:rsid w:val="00082C41"/>
    <w:rsid w:val="0009052E"/>
    <w:rsid w:val="00096B7D"/>
    <w:rsid w:val="000B08FD"/>
    <w:rsid w:val="000C7EA8"/>
    <w:rsid w:val="000E036D"/>
    <w:rsid w:val="000F36C6"/>
    <w:rsid w:val="0011329E"/>
    <w:rsid w:val="00133302"/>
    <w:rsid w:val="00147FF7"/>
    <w:rsid w:val="00152F22"/>
    <w:rsid w:val="001610A3"/>
    <w:rsid w:val="00162E56"/>
    <w:rsid w:val="001670DA"/>
    <w:rsid w:val="0018413A"/>
    <w:rsid w:val="001A5D24"/>
    <w:rsid w:val="001E0F56"/>
    <w:rsid w:val="001E268A"/>
    <w:rsid w:val="001E5B71"/>
    <w:rsid w:val="001E644B"/>
    <w:rsid w:val="001E7A63"/>
    <w:rsid w:val="00232A8A"/>
    <w:rsid w:val="002332D1"/>
    <w:rsid w:val="00234228"/>
    <w:rsid w:val="00245CFA"/>
    <w:rsid w:val="00246F4A"/>
    <w:rsid w:val="0026282E"/>
    <w:rsid w:val="00264A10"/>
    <w:rsid w:val="00282FD1"/>
    <w:rsid w:val="002836A0"/>
    <w:rsid w:val="00295F39"/>
    <w:rsid w:val="00296276"/>
    <w:rsid w:val="002976BB"/>
    <w:rsid w:val="002A0819"/>
    <w:rsid w:val="002B6400"/>
    <w:rsid w:val="002B7964"/>
    <w:rsid w:val="002C079E"/>
    <w:rsid w:val="002C6E68"/>
    <w:rsid w:val="00316097"/>
    <w:rsid w:val="0032351B"/>
    <w:rsid w:val="00330E21"/>
    <w:rsid w:val="00331143"/>
    <w:rsid w:val="00341982"/>
    <w:rsid w:val="00352338"/>
    <w:rsid w:val="00354FE9"/>
    <w:rsid w:val="003609ED"/>
    <w:rsid w:val="00392D5C"/>
    <w:rsid w:val="0039313D"/>
    <w:rsid w:val="003C40E5"/>
    <w:rsid w:val="003C7755"/>
    <w:rsid w:val="003E2EE5"/>
    <w:rsid w:val="003F1F4E"/>
    <w:rsid w:val="00401244"/>
    <w:rsid w:val="0040789F"/>
    <w:rsid w:val="00412818"/>
    <w:rsid w:val="0041333D"/>
    <w:rsid w:val="0041425B"/>
    <w:rsid w:val="004242F5"/>
    <w:rsid w:val="004334B1"/>
    <w:rsid w:val="00441A40"/>
    <w:rsid w:val="004429B9"/>
    <w:rsid w:val="00443951"/>
    <w:rsid w:val="00453D8C"/>
    <w:rsid w:val="004549B0"/>
    <w:rsid w:val="00473558"/>
    <w:rsid w:val="0048323B"/>
    <w:rsid w:val="00484BD9"/>
    <w:rsid w:val="004918BF"/>
    <w:rsid w:val="004958CD"/>
    <w:rsid w:val="00496D56"/>
    <w:rsid w:val="00497904"/>
    <w:rsid w:val="004A1830"/>
    <w:rsid w:val="004A22C5"/>
    <w:rsid w:val="004A46CB"/>
    <w:rsid w:val="004A5047"/>
    <w:rsid w:val="004A71E7"/>
    <w:rsid w:val="004B3A2A"/>
    <w:rsid w:val="004B5378"/>
    <w:rsid w:val="004C4C4D"/>
    <w:rsid w:val="00500609"/>
    <w:rsid w:val="00500883"/>
    <w:rsid w:val="00502473"/>
    <w:rsid w:val="00511F27"/>
    <w:rsid w:val="00526D67"/>
    <w:rsid w:val="00533E42"/>
    <w:rsid w:val="00534ABD"/>
    <w:rsid w:val="005404CC"/>
    <w:rsid w:val="005520BB"/>
    <w:rsid w:val="005A57C2"/>
    <w:rsid w:val="005B4DAE"/>
    <w:rsid w:val="005B4E7F"/>
    <w:rsid w:val="005C374F"/>
    <w:rsid w:val="005D6C95"/>
    <w:rsid w:val="005E0395"/>
    <w:rsid w:val="005E282D"/>
    <w:rsid w:val="005E71CA"/>
    <w:rsid w:val="005F41C5"/>
    <w:rsid w:val="0060376F"/>
    <w:rsid w:val="0061316B"/>
    <w:rsid w:val="0061329E"/>
    <w:rsid w:val="00624BB8"/>
    <w:rsid w:val="0062624F"/>
    <w:rsid w:val="0062634F"/>
    <w:rsid w:val="006428B1"/>
    <w:rsid w:val="00655586"/>
    <w:rsid w:val="00666795"/>
    <w:rsid w:val="006821CD"/>
    <w:rsid w:val="00685CB5"/>
    <w:rsid w:val="006A26E5"/>
    <w:rsid w:val="006A722B"/>
    <w:rsid w:val="006B529A"/>
    <w:rsid w:val="006B574C"/>
    <w:rsid w:val="006C5CE3"/>
    <w:rsid w:val="006D1AB4"/>
    <w:rsid w:val="006D485F"/>
    <w:rsid w:val="006F1E5A"/>
    <w:rsid w:val="006F47CD"/>
    <w:rsid w:val="006F769E"/>
    <w:rsid w:val="007042AE"/>
    <w:rsid w:val="00711FB4"/>
    <w:rsid w:val="00712365"/>
    <w:rsid w:val="00714F66"/>
    <w:rsid w:val="007244B9"/>
    <w:rsid w:val="0074658C"/>
    <w:rsid w:val="0075625C"/>
    <w:rsid w:val="0076028D"/>
    <w:rsid w:val="007605D7"/>
    <w:rsid w:val="00765EC7"/>
    <w:rsid w:val="00770320"/>
    <w:rsid w:val="00782A0C"/>
    <w:rsid w:val="007909EC"/>
    <w:rsid w:val="0079259F"/>
    <w:rsid w:val="00797808"/>
    <w:rsid w:val="007A2CE2"/>
    <w:rsid w:val="007C0E6E"/>
    <w:rsid w:val="007C7BC8"/>
    <w:rsid w:val="007D2E28"/>
    <w:rsid w:val="007F1C91"/>
    <w:rsid w:val="008036D8"/>
    <w:rsid w:val="00814E10"/>
    <w:rsid w:val="00816B92"/>
    <w:rsid w:val="00826A19"/>
    <w:rsid w:val="00832D80"/>
    <w:rsid w:val="008805F3"/>
    <w:rsid w:val="008A1739"/>
    <w:rsid w:val="008A4240"/>
    <w:rsid w:val="008A4879"/>
    <w:rsid w:val="008A7386"/>
    <w:rsid w:val="008C0E3E"/>
    <w:rsid w:val="008C4887"/>
    <w:rsid w:val="008D1B05"/>
    <w:rsid w:val="008F153A"/>
    <w:rsid w:val="008F6E5F"/>
    <w:rsid w:val="00914745"/>
    <w:rsid w:val="00914D41"/>
    <w:rsid w:val="009235A4"/>
    <w:rsid w:val="009237E6"/>
    <w:rsid w:val="00924939"/>
    <w:rsid w:val="0094054F"/>
    <w:rsid w:val="0094332D"/>
    <w:rsid w:val="009572AB"/>
    <w:rsid w:val="00967FE6"/>
    <w:rsid w:val="00980E04"/>
    <w:rsid w:val="009841EC"/>
    <w:rsid w:val="00991884"/>
    <w:rsid w:val="0099496E"/>
    <w:rsid w:val="009C1350"/>
    <w:rsid w:val="009C2024"/>
    <w:rsid w:val="009C7241"/>
    <w:rsid w:val="009D5411"/>
    <w:rsid w:val="009E14B9"/>
    <w:rsid w:val="009E6628"/>
    <w:rsid w:val="009F1AE9"/>
    <w:rsid w:val="009F44B7"/>
    <w:rsid w:val="00A06BD7"/>
    <w:rsid w:val="00A06E3C"/>
    <w:rsid w:val="00A17E84"/>
    <w:rsid w:val="00A32CD8"/>
    <w:rsid w:val="00A50195"/>
    <w:rsid w:val="00A77585"/>
    <w:rsid w:val="00A82529"/>
    <w:rsid w:val="00A91A43"/>
    <w:rsid w:val="00A97421"/>
    <w:rsid w:val="00AA305A"/>
    <w:rsid w:val="00AA52D0"/>
    <w:rsid w:val="00AB5169"/>
    <w:rsid w:val="00AB763E"/>
    <w:rsid w:val="00AC5E83"/>
    <w:rsid w:val="00AD354B"/>
    <w:rsid w:val="00AD47E1"/>
    <w:rsid w:val="00AE2219"/>
    <w:rsid w:val="00AE456D"/>
    <w:rsid w:val="00AE7F7E"/>
    <w:rsid w:val="00AF6E39"/>
    <w:rsid w:val="00B047CA"/>
    <w:rsid w:val="00B1588F"/>
    <w:rsid w:val="00B2253B"/>
    <w:rsid w:val="00B34934"/>
    <w:rsid w:val="00B34D31"/>
    <w:rsid w:val="00B7054F"/>
    <w:rsid w:val="00B77EBB"/>
    <w:rsid w:val="00B86A99"/>
    <w:rsid w:val="00B87B9D"/>
    <w:rsid w:val="00B952BB"/>
    <w:rsid w:val="00BA156C"/>
    <w:rsid w:val="00BC591D"/>
    <w:rsid w:val="00BE2422"/>
    <w:rsid w:val="00BE6640"/>
    <w:rsid w:val="00BF3E4B"/>
    <w:rsid w:val="00C237C4"/>
    <w:rsid w:val="00C25FD2"/>
    <w:rsid w:val="00C314FA"/>
    <w:rsid w:val="00C35B67"/>
    <w:rsid w:val="00C42704"/>
    <w:rsid w:val="00C446CF"/>
    <w:rsid w:val="00C55CC0"/>
    <w:rsid w:val="00C601A4"/>
    <w:rsid w:val="00C66827"/>
    <w:rsid w:val="00C90EAF"/>
    <w:rsid w:val="00CB0AB5"/>
    <w:rsid w:val="00CD1E0D"/>
    <w:rsid w:val="00CD43DF"/>
    <w:rsid w:val="00CE16D9"/>
    <w:rsid w:val="00CE4E50"/>
    <w:rsid w:val="00CE6816"/>
    <w:rsid w:val="00CF18B1"/>
    <w:rsid w:val="00D12528"/>
    <w:rsid w:val="00D30BB2"/>
    <w:rsid w:val="00D36485"/>
    <w:rsid w:val="00D448A0"/>
    <w:rsid w:val="00D567DA"/>
    <w:rsid w:val="00D66527"/>
    <w:rsid w:val="00D6747A"/>
    <w:rsid w:val="00D73E12"/>
    <w:rsid w:val="00D76BC9"/>
    <w:rsid w:val="00D82299"/>
    <w:rsid w:val="00D83290"/>
    <w:rsid w:val="00D870E9"/>
    <w:rsid w:val="00D93BD2"/>
    <w:rsid w:val="00DA280D"/>
    <w:rsid w:val="00DB0988"/>
    <w:rsid w:val="00DB4695"/>
    <w:rsid w:val="00DB4AB8"/>
    <w:rsid w:val="00DC285C"/>
    <w:rsid w:val="00DD3F34"/>
    <w:rsid w:val="00DE374E"/>
    <w:rsid w:val="00DF01FD"/>
    <w:rsid w:val="00DF736A"/>
    <w:rsid w:val="00E23D7C"/>
    <w:rsid w:val="00E26282"/>
    <w:rsid w:val="00E35F39"/>
    <w:rsid w:val="00E436BD"/>
    <w:rsid w:val="00E46B58"/>
    <w:rsid w:val="00E47B3E"/>
    <w:rsid w:val="00E53EDF"/>
    <w:rsid w:val="00E56ADA"/>
    <w:rsid w:val="00E60808"/>
    <w:rsid w:val="00E852EE"/>
    <w:rsid w:val="00E85FC9"/>
    <w:rsid w:val="00E94E3A"/>
    <w:rsid w:val="00E97B80"/>
    <w:rsid w:val="00EA3993"/>
    <w:rsid w:val="00EA4B5E"/>
    <w:rsid w:val="00EB0ACA"/>
    <w:rsid w:val="00ED15C2"/>
    <w:rsid w:val="00EF06A2"/>
    <w:rsid w:val="00F017DE"/>
    <w:rsid w:val="00F24304"/>
    <w:rsid w:val="00F273B5"/>
    <w:rsid w:val="00F27B24"/>
    <w:rsid w:val="00F322F0"/>
    <w:rsid w:val="00F3308F"/>
    <w:rsid w:val="00F34A26"/>
    <w:rsid w:val="00F35485"/>
    <w:rsid w:val="00F37033"/>
    <w:rsid w:val="00F72C8D"/>
    <w:rsid w:val="00F73250"/>
    <w:rsid w:val="00F764BD"/>
    <w:rsid w:val="00F87DC2"/>
    <w:rsid w:val="00FA0326"/>
    <w:rsid w:val="00FA2786"/>
    <w:rsid w:val="00FB0868"/>
    <w:rsid w:val="00FB11C2"/>
    <w:rsid w:val="00FB15F8"/>
    <w:rsid w:val="00FB3207"/>
    <w:rsid w:val="00FB5C9B"/>
    <w:rsid w:val="00FC0B8E"/>
    <w:rsid w:val="00FC2579"/>
    <w:rsid w:val="00FE04A7"/>
    <w:rsid w:val="00FE2ED3"/>
    <w:rsid w:val="00FF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24243"/>
  <w15:docId w15:val="{1B001151-620F-4A47-A15D-3DE8120A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7C4"/>
    <w:pPr>
      <w:keepNext/>
    </w:pPr>
    <w:rPr>
      <w:rFonts w:ascii="Arial" w:hAnsi="Arial"/>
    </w:rPr>
  </w:style>
  <w:style w:type="paragraph" w:styleId="Heading1">
    <w:name w:val="heading 1"/>
    <w:basedOn w:val="Normal"/>
    <w:qFormat/>
    <w:rsid w:val="00C237C4"/>
    <w:pPr>
      <w:numPr>
        <w:numId w:val="22"/>
      </w:numPr>
      <w:tabs>
        <w:tab w:val="left" w:pos="1440"/>
      </w:tabs>
      <w:spacing w:before="240" w:after="60"/>
      <w:jc w:val="both"/>
      <w:outlineLvl w:val="0"/>
    </w:pPr>
    <w:rPr>
      <w:b/>
      <w:caps/>
      <w:kern w:val="28"/>
    </w:rPr>
  </w:style>
  <w:style w:type="paragraph" w:styleId="Heading2">
    <w:name w:val="heading 2"/>
    <w:basedOn w:val="Normal"/>
    <w:qFormat/>
    <w:rsid w:val="00C237C4"/>
    <w:pPr>
      <w:numPr>
        <w:ilvl w:val="1"/>
        <w:numId w:val="22"/>
      </w:numPr>
      <w:tabs>
        <w:tab w:val="left" w:pos="1440"/>
      </w:tabs>
      <w:spacing w:before="240" w:after="60"/>
      <w:jc w:val="both"/>
      <w:outlineLvl w:val="1"/>
    </w:pPr>
  </w:style>
  <w:style w:type="paragraph" w:styleId="Heading3">
    <w:name w:val="heading 3"/>
    <w:basedOn w:val="Normal"/>
    <w:link w:val="Heading3Char"/>
    <w:qFormat/>
    <w:rsid w:val="00C237C4"/>
    <w:pPr>
      <w:numPr>
        <w:ilvl w:val="2"/>
        <w:numId w:val="22"/>
      </w:numPr>
      <w:tabs>
        <w:tab w:val="clear" w:pos="936"/>
        <w:tab w:val="num" w:pos="864"/>
        <w:tab w:val="left" w:pos="1440"/>
      </w:tabs>
      <w:spacing w:before="240" w:after="60"/>
      <w:ind w:left="864"/>
      <w:jc w:val="both"/>
      <w:outlineLvl w:val="2"/>
    </w:pPr>
  </w:style>
  <w:style w:type="paragraph" w:styleId="Heading4">
    <w:name w:val="heading 4"/>
    <w:basedOn w:val="Normal"/>
    <w:link w:val="Heading4Char"/>
    <w:qFormat/>
    <w:rsid w:val="00C237C4"/>
    <w:pPr>
      <w:numPr>
        <w:ilvl w:val="3"/>
        <w:numId w:val="22"/>
      </w:numPr>
      <w:spacing w:before="240" w:after="60"/>
      <w:contextualSpacing/>
      <w:jc w:val="both"/>
      <w:outlineLvl w:val="3"/>
    </w:pPr>
  </w:style>
  <w:style w:type="paragraph" w:styleId="Heading5">
    <w:name w:val="heading 5"/>
    <w:basedOn w:val="Normal"/>
    <w:qFormat/>
    <w:rsid w:val="00C237C4"/>
    <w:pPr>
      <w:numPr>
        <w:ilvl w:val="4"/>
        <w:numId w:val="22"/>
      </w:numPr>
      <w:tabs>
        <w:tab w:val="left" w:pos="1440"/>
      </w:tabs>
      <w:spacing w:before="240" w:after="60"/>
      <w:contextualSpacing/>
      <w:jc w:val="both"/>
      <w:outlineLvl w:val="4"/>
    </w:pPr>
  </w:style>
  <w:style w:type="paragraph" w:styleId="Heading6">
    <w:name w:val="heading 6"/>
    <w:basedOn w:val="Normal"/>
    <w:qFormat/>
    <w:rsid w:val="00C237C4"/>
    <w:pPr>
      <w:numPr>
        <w:ilvl w:val="5"/>
        <w:numId w:val="22"/>
      </w:numPr>
      <w:tabs>
        <w:tab w:val="left" w:pos="1440"/>
      </w:tabs>
      <w:spacing w:before="240" w:after="60"/>
      <w:contextualSpacing/>
      <w:outlineLvl w:val="5"/>
    </w:pPr>
  </w:style>
  <w:style w:type="paragraph" w:styleId="Heading7">
    <w:name w:val="heading 7"/>
    <w:basedOn w:val="Normal"/>
    <w:qFormat/>
    <w:rsid w:val="00C237C4"/>
    <w:pPr>
      <w:numPr>
        <w:ilvl w:val="6"/>
        <w:numId w:val="22"/>
      </w:numPr>
      <w:tabs>
        <w:tab w:val="left" w:pos="1440"/>
      </w:tabs>
      <w:spacing w:before="240" w:after="60"/>
      <w:contextualSpacing/>
      <w:jc w:val="both"/>
      <w:outlineLvl w:val="6"/>
    </w:pPr>
  </w:style>
  <w:style w:type="paragraph" w:styleId="Heading8">
    <w:name w:val="heading 8"/>
    <w:basedOn w:val="Normal"/>
    <w:next w:val="Normal"/>
    <w:qFormat/>
    <w:rsid w:val="00C237C4"/>
    <w:pPr>
      <w:tabs>
        <w:tab w:val="left" w:pos="1440"/>
      </w:tabs>
      <w:spacing w:before="240" w:after="60"/>
      <w:jc w:val="both"/>
      <w:outlineLvl w:val="7"/>
    </w:pPr>
  </w:style>
  <w:style w:type="paragraph" w:styleId="Heading9">
    <w:name w:val="heading 9"/>
    <w:basedOn w:val="Normal"/>
    <w:next w:val="Normal"/>
    <w:qFormat/>
    <w:rsid w:val="00C237C4"/>
    <w:pPr>
      <w:tabs>
        <w:tab w:val="left" w:pos="1440"/>
      </w:tabs>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967FE6"/>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JUST">
    <w:name w:val="RJUST"/>
    <w:basedOn w:val="Normal"/>
    <w:rsid w:val="00FA0326"/>
    <w:pPr>
      <w:keepNext w:val="0"/>
      <w:jc w:val="right"/>
    </w:pPr>
    <w:rPr>
      <w:rFonts w:ascii="Times New Roman" w:hAnsi="Times New Roman"/>
    </w:rPr>
  </w:style>
  <w:style w:type="character" w:customStyle="1" w:styleId="HeaderChar">
    <w:name w:val="Header Char"/>
    <w:basedOn w:val="DefaultParagraphFont"/>
    <w:link w:val="Header"/>
    <w:rsid w:val="00F322F0"/>
    <w:rPr>
      <w:rFonts w:ascii="Arial" w:hAnsi="Arial"/>
      <w:lang w:val="en-US" w:eastAsia="en-US" w:bidi="ar-SA"/>
    </w:rPr>
  </w:style>
  <w:style w:type="paragraph" w:styleId="BalloonText">
    <w:name w:val="Balloon Text"/>
    <w:basedOn w:val="Normal"/>
    <w:semiHidden/>
    <w:rsid w:val="0074658C"/>
    <w:rPr>
      <w:rFonts w:ascii="Tahoma" w:hAnsi="Tahoma" w:cs="Tahoma"/>
      <w:sz w:val="16"/>
      <w:szCs w:val="16"/>
    </w:rPr>
  </w:style>
  <w:style w:type="character" w:customStyle="1" w:styleId="NAM">
    <w:name w:val="NAM"/>
    <w:basedOn w:val="DefaultParagraphFont"/>
    <w:rsid w:val="0011329E"/>
  </w:style>
  <w:style w:type="character" w:customStyle="1" w:styleId="Heading3Char">
    <w:name w:val="Heading 3 Char"/>
    <w:basedOn w:val="DefaultParagraphFont"/>
    <w:link w:val="Heading3"/>
    <w:rsid w:val="00C237C4"/>
    <w:rPr>
      <w:rFonts w:ascii="Arial" w:hAnsi="Arial"/>
    </w:rPr>
  </w:style>
  <w:style w:type="character" w:styleId="CommentReference">
    <w:name w:val="annotation reference"/>
    <w:basedOn w:val="DefaultParagraphFont"/>
    <w:rsid w:val="009841EC"/>
    <w:rPr>
      <w:sz w:val="16"/>
      <w:szCs w:val="16"/>
    </w:rPr>
  </w:style>
  <w:style w:type="paragraph" w:styleId="CommentText">
    <w:name w:val="annotation text"/>
    <w:basedOn w:val="Normal"/>
    <w:link w:val="CommentTextChar"/>
    <w:rsid w:val="009841EC"/>
  </w:style>
  <w:style w:type="character" w:customStyle="1" w:styleId="CommentTextChar">
    <w:name w:val="Comment Text Char"/>
    <w:basedOn w:val="DefaultParagraphFont"/>
    <w:link w:val="CommentText"/>
    <w:rsid w:val="009841EC"/>
    <w:rPr>
      <w:rFonts w:ascii="Arial" w:hAnsi="Arial"/>
    </w:rPr>
  </w:style>
  <w:style w:type="paragraph" w:styleId="CommentSubject">
    <w:name w:val="annotation subject"/>
    <w:basedOn w:val="CommentText"/>
    <w:next w:val="CommentText"/>
    <w:link w:val="CommentSubjectChar"/>
    <w:rsid w:val="009841EC"/>
    <w:rPr>
      <w:b/>
      <w:bCs/>
    </w:rPr>
  </w:style>
  <w:style w:type="character" w:customStyle="1" w:styleId="CommentSubjectChar">
    <w:name w:val="Comment Subject Char"/>
    <w:basedOn w:val="CommentTextChar"/>
    <w:link w:val="CommentSubject"/>
    <w:rsid w:val="009841EC"/>
    <w:rPr>
      <w:rFonts w:ascii="Arial" w:hAnsi="Arial"/>
      <w:b/>
      <w:bCs/>
    </w:rPr>
  </w:style>
  <w:style w:type="character" w:customStyle="1" w:styleId="Heading4Char">
    <w:name w:val="Heading 4 Char"/>
    <w:basedOn w:val="DefaultParagraphFont"/>
    <w:link w:val="Heading4"/>
    <w:rsid w:val="007244B9"/>
    <w:rPr>
      <w:rFonts w:ascii="Arial" w:hAnsi="Arial"/>
    </w:rPr>
  </w:style>
  <w:style w:type="character" w:customStyle="1" w:styleId="SI">
    <w:name w:val="SI"/>
    <w:basedOn w:val="DefaultParagraphFont"/>
    <w:rsid w:val="007244B9"/>
    <w:rPr>
      <w:color w:val="008080"/>
    </w:rPr>
  </w:style>
  <w:style w:type="character" w:customStyle="1" w:styleId="IP">
    <w:name w:val="IP"/>
    <w:basedOn w:val="DefaultParagraphFont"/>
    <w:rsid w:val="007244B9"/>
    <w:rPr>
      <w:color w:val="FF0000"/>
    </w:rPr>
  </w:style>
  <w:style w:type="paragraph" w:customStyle="1" w:styleId="CMT">
    <w:name w:val="CMT"/>
    <w:basedOn w:val="Normal"/>
    <w:rsid w:val="00ED15C2"/>
    <w:pPr>
      <w:keepNext w:val="0"/>
      <w:suppressAutoHyphens/>
      <w:spacing w:before="240"/>
      <w:jc w:val="both"/>
    </w:pPr>
    <w:rPr>
      <w:rFonts w:ascii="Times New Roman" w:hAnsi="Times New Roman"/>
      <w:vanish/>
      <w:color w:val="0000FF"/>
      <w:sz w:val="22"/>
    </w:rPr>
  </w:style>
  <w:style w:type="character" w:customStyle="1" w:styleId="FooterChar">
    <w:name w:val="Footer Char"/>
    <w:basedOn w:val="DefaultParagraphFont"/>
    <w:link w:val="Footer"/>
    <w:uiPriority w:val="99"/>
    <w:rsid w:val="005D6C95"/>
    <w:rPr>
      <w:rFonts w:ascii="Arial" w:hAnsi="Arial"/>
    </w:rPr>
  </w:style>
  <w:style w:type="character" w:styleId="PageNumber">
    <w:name w:val="page number"/>
    <w:basedOn w:val="DefaultParagraphFont"/>
    <w:uiPriority w:val="99"/>
    <w:rsid w:val="005D6C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70485">
      <w:bodyDiv w:val="1"/>
      <w:marLeft w:val="0"/>
      <w:marRight w:val="0"/>
      <w:marTop w:val="0"/>
      <w:marBottom w:val="0"/>
      <w:divBdr>
        <w:top w:val="none" w:sz="0" w:space="0" w:color="auto"/>
        <w:left w:val="none" w:sz="0" w:space="0" w:color="auto"/>
        <w:bottom w:val="none" w:sz="0" w:space="0" w:color="auto"/>
        <w:right w:val="none" w:sz="0" w:space="0" w:color="auto"/>
      </w:divBdr>
    </w:div>
    <w:div w:id="16217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e32f2-92db-4b39-b017-29ea25fe1630">
      <Terms xmlns="http://schemas.microsoft.com/office/infopath/2007/PartnerControls"/>
    </lcf76f155ced4ddcb4097134ff3c332f>
    <TaxCatchAll xmlns="83691d0d-6260-48f6-a328-e364800e9e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FF9A782FBF64BA965420C2AEFB3DE" ma:contentTypeVersion="11" ma:contentTypeDescription="Create a new document." ma:contentTypeScope="" ma:versionID="986fd8ba5c73d7a6f746f1d641de82ae">
  <xsd:schema xmlns:xsd="http://www.w3.org/2001/XMLSchema" xmlns:xs="http://www.w3.org/2001/XMLSchema" xmlns:p="http://schemas.microsoft.com/office/2006/metadata/properties" xmlns:ns2="dc0e32f2-92db-4b39-b017-29ea25fe1630" xmlns:ns3="83691d0d-6260-48f6-a328-e364800e9e2d" targetNamespace="http://schemas.microsoft.com/office/2006/metadata/properties" ma:root="true" ma:fieldsID="634dd7dd715250d80872ac8cf030b2de" ns2:_="" ns3:_="">
    <xsd:import namespace="dc0e32f2-92db-4b39-b017-29ea25fe1630"/>
    <xsd:import namespace="83691d0d-6260-48f6-a328-e364800e9e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32f2-92db-4b39-b017-29ea25fe1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91d0d-6260-48f6-a328-e364800e9e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2c9dd8-0eb2-49c9-beba-7fef5878c830}" ma:internalName="TaxCatchAll" ma:showField="CatchAllData" ma:web="83691d0d-6260-48f6-a328-e364800e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44E10-E9AB-4530-82CE-DAF175325D24}">
  <ds:schemaRefs>
    <ds:schemaRef ds:uri="http://schemas.openxmlformats.org/officeDocument/2006/bibliography"/>
  </ds:schemaRefs>
</ds:datastoreItem>
</file>

<file path=customXml/itemProps2.xml><?xml version="1.0" encoding="utf-8"?>
<ds:datastoreItem xmlns:ds="http://schemas.openxmlformats.org/officeDocument/2006/customXml" ds:itemID="{33D89343-8778-4E58-BE62-2642FFB9F0AC}">
  <ds:schemaRefs>
    <ds:schemaRef ds:uri="http://schemas.microsoft.com/office/2006/metadata/properties"/>
    <ds:schemaRef ds:uri="http://schemas.microsoft.com/office/infopath/2007/PartnerControls"/>
    <ds:schemaRef ds:uri="dc0e32f2-92db-4b39-b017-29ea25fe1630"/>
    <ds:schemaRef ds:uri="83691d0d-6260-48f6-a328-e364800e9e2d"/>
  </ds:schemaRefs>
</ds:datastoreItem>
</file>

<file path=customXml/itemProps3.xml><?xml version="1.0" encoding="utf-8"?>
<ds:datastoreItem xmlns:ds="http://schemas.openxmlformats.org/officeDocument/2006/customXml" ds:itemID="{8995CE76-3066-47CA-8BBB-FC9E9AD0D54B}">
  <ds:schemaRefs>
    <ds:schemaRef ds:uri="http://schemas.microsoft.com/sharepoint/v3/contenttype/forms"/>
  </ds:schemaRefs>
</ds:datastoreItem>
</file>

<file path=customXml/itemProps4.xml><?xml version="1.0" encoding="utf-8"?>
<ds:datastoreItem xmlns:ds="http://schemas.openxmlformats.org/officeDocument/2006/customXml" ds:itemID="{1F272FCA-7F54-434B-A1B7-C7928FAB0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32f2-92db-4b39-b017-29ea25fe1630"/>
    <ds:schemaRef ds:uri="83691d0d-6260-48f6-a328-e364800e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23 21 13</vt:lpstr>
    </vt:vector>
  </TitlesOfParts>
  <Company>UNL</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13</dc:title>
  <dc:creator>UNL</dc:creator>
  <cp:lastModifiedBy>Caleb Kowalski</cp:lastModifiedBy>
  <cp:revision>44</cp:revision>
  <cp:lastPrinted>2025-02-06T21:40:00Z</cp:lastPrinted>
  <dcterms:created xsi:type="dcterms:W3CDTF">2025-02-06T18:37:00Z</dcterms:created>
  <dcterms:modified xsi:type="dcterms:W3CDTF">2025-02-07T13:30:00Z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0x0101009DFFF9A782FBF64BA965420C2AEFB3DE</vt:lpwstr>
  </property>
  <property fmtid="{D5CDD505-2E9C-101B-9397-08002B2CF9AE}" pid="3" name="MediaServiceImageTags">
    <vt:lpwstr/>
  </property>
</Properties>
</file>